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7E45C">
      <w:pPr>
        <w:spacing w:before="101" w:line="230" w:lineRule="auto"/>
        <w:outlineLvl w:val="0"/>
        <w:rPr>
          <w:rFonts w:hint="eastAsia" w:ascii="宋体" w:hAnsi="宋体" w:eastAsia="宋体" w:cs="宋体"/>
          <w:spacing w:val="-5"/>
          <w:sz w:val="32"/>
          <w:szCs w:val="32"/>
        </w:rPr>
      </w:pPr>
      <w:r>
        <w:rPr>
          <w:rFonts w:hint="eastAsia" w:ascii="宋体" w:hAnsi="宋体" w:eastAsia="宋体" w:cs="宋体"/>
          <w:spacing w:val="-5"/>
          <w:sz w:val="32"/>
          <w:szCs w:val="32"/>
        </w:rPr>
        <w:t>附件1</w:t>
      </w:r>
    </w:p>
    <w:p w14:paraId="20B106C7">
      <w:pPr>
        <w:pStyle w:val="2"/>
        <w:rPr>
          <w:rFonts w:hint="eastAsia" w:ascii="宋体" w:hAnsi="宋体" w:eastAsia="宋体" w:cs="宋体"/>
          <w:b/>
          <w:bCs w:val="0"/>
        </w:rPr>
      </w:pPr>
      <w:bookmarkStart w:id="1" w:name="_GoBack"/>
      <w:bookmarkStart w:id="0" w:name="_Toc52295333"/>
      <w:r>
        <w:rPr>
          <w:rFonts w:hint="eastAsia" w:ascii="宋体" w:hAnsi="宋体" w:eastAsia="宋体" w:cs="宋体"/>
          <w:b/>
          <w:bCs w:val="0"/>
        </w:rPr>
        <w:t>实验室安全</w:t>
      </w:r>
      <w:r>
        <w:rPr>
          <w:rFonts w:hint="eastAsia" w:ascii="宋体" w:hAnsi="宋体" w:eastAsia="宋体" w:cs="宋体"/>
          <w:b/>
          <w:bCs w:val="0"/>
          <w:lang w:val="en-US" w:eastAsia="zh-CN"/>
        </w:rPr>
        <w:t>检查重点内容</w:t>
      </w:r>
      <w:r>
        <w:rPr>
          <w:rFonts w:hint="eastAsia" w:ascii="宋体" w:hAnsi="宋体" w:eastAsia="宋体" w:cs="宋体"/>
          <w:b/>
          <w:bCs w:val="0"/>
        </w:rPr>
        <w:t>明细</w:t>
      </w:r>
      <w:bookmarkEnd w:id="0"/>
    </w:p>
    <w:bookmarkEnd w:id="1"/>
    <w:tbl>
      <w:tblPr>
        <w:tblStyle w:val="4"/>
        <w:tblW w:w="56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8798"/>
      </w:tblGrid>
      <w:tr w14:paraId="11148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vAlign w:val="center"/>
          </w:tcPr>
          <w:p w14:paraId="203FDC86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4564" w:type="pct"/>
            <w:vAlign w:val="center"/>
          </w:tcPr>
          <w:p w14:paraId="52C5C083">
            <w:pPr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检查内容</w:t>
            </w:r>
          </w:p>
        </w:tc>
      </w:tr>
      <w:tr w14:paraId="2D66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vAlign w:val="center"/>
          </w:tcPr>
          <w:p w14:paraId="1EDF0F2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4564" w:type="pct"/>
            <w:vAlign w:val="center"/>
          </w:tcPr>
          <w:p w14:paraId="6EEB7F6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内人员未签订安全责任书</w:t>
            </w:r>
          </w:p>
        </w:tc>
      </w:tr>
      <w:tr w14:paraId="272A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vAlign w:val="center"/>
          </w:tcPr>
          <w:p w14:paraId="2E5A956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4564" w:type="pct"/>
            <w:vAlign w:val="center"/>
          </w:tcPr>
          <w:p w14:paraId="3619D3D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实验室内人员未经过安全准入培训</w:t>
            </w:r>
          </w:p>
        </w:tc>
      </w:tr>
      <w:tr w14:paraId="1D9A6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vAlign w:val="center"/>
          </w:tcPr>
          <w:p w14:paraId="36F65CD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4564" w:type="pct"/>
            <w:vAlign w:val="center"/>
          </w:tcPr>
          <w:p w14:paraId="38FBAA8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及实验项目未进行安全风险评估</w:t>
            </w:r>
          </w:p>
        </w:tc>
      </w:tr>
      <w:tr w14:paraId="02CC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vAlign w:val="center"/>
          </w:tcPr>
          <w:p w14:paraId="35D5412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4564" w:type="pct"/>
            <w:vAlign w:val="center"/>
          </w:tcPr>
          <w:p w14:paraId="19C3159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未建立实验室重要危险源风险管控方案</w:t>
            </w:r>
          </w:p>
        </w:tc>
      </w:tr>
      <w:tr w14:paraId="45F0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vAlign w:val="center"/>
          </w:tcPr>
          <w:p w14:paraId="068C16A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4564" w:type="pct"/>
            <w:vAlign w:val="center"/>
          </w:tcPr>
          <w:p w14:paraId="50D1BC65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违规购买、存储、使用或处置重要危险源，危险化学品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在外放置未入柜</w:t>
            </w:r>
          </w:p>
        </w:tc>
      </w:tr>
      <w:tr w14:paraId="055D2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vAlign w:val="center"/>
          </w:tcPr>
          <w:p w14:paraId="76CC31B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4564" w:type="pct"/>
            <w:vAlign w:val="center"/>
          </w:tcPr>
          <w:p w14:paraId="15820C40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实验室内超量存放危险化学品</w:t>
            </w:r>
          </w:p>
        </w:tc>
      </w:tr>
      <w:tr w14:paraId="7503B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435" w:type="pct"/>
            <w:vAlign w:val="center"/>
          </w:tcPr>
          <w:p w14:paraId="30231AF6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4564" w:type="pct"/>
            <w:vAlign w:val="center"/>
          </w:tcPr>
          <w:p w14:paraId="2639B28B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实验室大量使用危险气体，无浓度报警措施或通风设施不合格，存放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易燃易爆气体的实验室未安装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监测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报警器</w:t>
            </w:r>
          </w:p>
        </w:tc>
      </w:tr>
      <w:tr w14:paraId="56D1E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vAlign w:val="center"/>
          </w:tcPr>
          <w:p w14:paraId="7DEE2A2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4564" w:type="pct"/>
            <w:vAlign w:val="center"/>
          </w:tcPr>
          <w:p w14:paraId="4302ACA4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实验室未配备应急及急救设备，未配置安全防护用品</w:t>
            </w:r>
          </w:p>
        </w:tc>
      </w:tr>
      <w:tr w14:paraId="7EB2F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vAlign w:val="center"/>
          </w:tcPr>
          <w:p w14:paraId="1236199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4564" w:type="pct"/>
            <w:vAlign w:val="center"/>
          </w:tcPr>
          <w:p w14:paraId="17520D3C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F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实验室无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安全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信息牌或内容不全面</w:t>
            </w:r>
          </w:p>
        </w:tc>
      </w:tr>
      <w:tr w14:paraId="11135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1074DEA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4564" w:type="pct"/>
            <w:vAlign w:val="center"/>
          </w:tcPr>
          <w:p w14:paraId="4D911281">
            <w:pPr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实验室安全分级分类不准确</w:t>
            </w:r>
          </w:p>
        </w:tc>
      </w:tr>
      <w:tr w14:paraId="04779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39623A79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4564" w:type="pct"/>
            <w:vAlign w:val="center"/>
          </w:tcPr>
          <w:p w14:paraId="4DCCCCC3">
            <w:pPr>
              <w:jc w:val="left"/>
              <w:rPr>
                <w:rFonts w:hint="eastAsia" w:ascii="宋体" w:hAnsi="宋体" w:eastAsia="宋体" w:cs="宋体"/>
                <w:b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实验室易制毒、易制爆试剂未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单独存放、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未存放在专用试剂柜中</w:t>
            </w:r>
          </w:p>
        </w:tc>
      </w:tr>
      <w:tr w14:paraId="1185A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32492CE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4564" w:type="pct"/>
            <w:vAlign w:val="center"/>
          </w:tcPr>
          <w:p w14:paraId="5070FBE1">
            <w:pPr>
              <w:jc w:val="left"/>
              <w:rPr>
                <w:rFonts w:hint="eastAsia" w:ascii="宋体" w:hAnsi="宋体" w:eastAsia="宋体" w:cs="宋体"/>
                <w:b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易制爆试剂不符合小剂量库存放管理要求</w:t>
            </w:r>
          </w:p>
        </w:tc>
      </w:tr>
      <w:tr w14:paraId="03323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3849460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4564" w:type="pct"/>
            <w:vAlign w:val="center"/>
          </w:tcPr>
          <w:p w14:paraId="6028223A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未经主管部门许可擅自建设、使用、转让涉及重要危险源实验室（实训场所）或设备</w:t>
            </w:r>
          </w:p>
        </w:tc>
      </w:tr>
      <w:tr w14:paraId="027A5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347ECB2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4564" w:type="pct"/>
            <w:vAlign w:val="center"/>
          </w:tcPr>
          <w:p w14:paraId="73EEFE1C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在实验室（实训场所）内使用超出其安全许可范围的实验材料、设备或进行超出其安全等级的实验活动</w:t>
            </w:r>
          </w:p>
        </w:tc>
      </w:tr>
      <w:tr w14:paraId="29F24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0F955868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4564" w:type="pct"/>
            <w:vAlign w:val="center"/>
          </w:tcPr>
          <w:p w14:paraId="2F94A1D8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未落实重大设施设备（包括存储剧毒、易制爆化学品，危废贮存站，特种设备等设施设备）定期环评、检测、监测、维保</w:t>
            </w:r>
          </w:p>
        </w:tc>
      </w:tr>
      <w:tr w14:paraId="53E08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56933DD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4564" w:type="pct"/>
            <w:vAlign w:val="center"/>
          </w:tcPr>
          <w:p w14:paraId="1CCC9337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实验室环境杂乱，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台面不整洁，摆放混乱</w:t>
            </w:r>
          </w:p>
        </w:tc>
      </w:tr>
      <w:tr w14:paraId="7B9BB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683B6545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4564" w:type="pct"/>
            <w:vAlign w:val="center"/>
          </w:tcPr>
          <w:p w14:paraId="244BB9C1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实验室内存放过多纸箱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等易燃物品</w:t>
            </w:r>
          </w:p>
        </w:tc>
      </w:tr>
      <w:tr w14:paraId="2263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359D7F1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4564" w:type="pct"/>
            <w:vAlign w:val="center"/>
          </w:tcPr>
          <w:p w14:paraId="5577C327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实验室门的观察窗被遮挡，影响观察</w:t>
            </w:r>
          </w:p>
        </w:tc>
      </w:tr>
      <w:tr w14:paraId="4051D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717CA6D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4564" w:type="pct"/>
            <w:vAlign w:val="center"/>
          </w:tcPr>
          <w:p w14:paraId="5F811F26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实验室内存放食品、饮料或放置无关生活用品</w:t>
            </w:r>
          </w:p>
        </w:tc>
      </w:tr>
      <w:tr w14:paraId="5F772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25974A0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4564" w:type="pct"/>
            <w:vAlign w:val="center"/>
          </w:tcPr>
          <w:p w14:paraId="4BF92B11"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占用消防通道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实验室门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被阻挡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缺乏消防设施</w:t>
            </w:r>
          </w:p>
        </w:tc>
      </w:tr>
      <w:tr w14:paraId="54D00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70ED8D57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542A20DA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接线板直接放在地面或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未固定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多个接线板串联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多个大功率仪器使用同一个接线板</w:t>
            </w:r>
          </w:p>
        </w:tc>
      </w:tr>
      <w:tr w14:paraId="5C70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6F4412D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69B328D7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电源插座及电线严重老化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电源插座超负荷使用</w:t>
            </w:r>
          </w:p>
        </w:tc>
      </w:tr>
      <w:tr w14:paraId="6C31F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2F7B1D1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027E6251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乱拉乱接电线、电线混乱、电线金属裸露</w:t>
            </w:r>
          </w:p>
        </w:tc>
      </w:tr>
      <w:tr w14:paraId="1DA71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4A32D4C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589DFAD7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未划分废液存放区域、未张贴区域标识，废液桶未张贴标签</w:t>
            </w:r>
          </w:p>
        </w:tc>
      </w:tr>
      <w:tr w14:paraId="05F76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0A7FE0B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0BCDBA7D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试剂存放柜未贴清单或清单长期未更新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试剂或样品无标签</w:t>
            </w:r>
          </w:p>
        </w:tc>
      </w:tr>
      <w:tr w14:paraId="62814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1A33827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143B0676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强酸与强碱、氧化剂与还原剂、固体与液体混放</w:t>
            </w:r>
          </w:p>
        </w:tc>
      </w:tr>
      <w:tr w14:paraId="65808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3B31053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6A63238E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易制毒、易制爆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试剂无使用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台账或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记录不清</w:t>
            </w:r>
          </w:p>
        </w:tc>
      </w:tr>
      <w:tr w14:paraId="497F8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1D5DD47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121518F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易燃易爆化学试剂未存放在具有通风设施的专用试剂柜内</w:t>
            </w:r>
          </w:p>
        </w:tc>
      </w:tr>
      <w:tr w14:paraId="1E0A7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62645FA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473F216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普通冰箱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存放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易挥发的有机溶剂</w:t>
            </w:r>
          </w:p>
        </w:tc>
      </w:tr>
      <w:tr w14:paraId="15323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3E1DB03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1202759C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实验室内气瓶超过检验期限、气瓶附件不全、气瓶无使用状态标识牌</w:t>
            </w:r>
          </w:p>
        </w:tc>
      </w:tr>
      <w:tr w14:paraId="669A5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4AF41404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31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38FD7C1B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气体钢瓶未固定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气体管路连接不正确、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无气路标识、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选材不适合</w:t>
            </w:r>
          </w:p>
        </w:tc>
      </w:tr>
      <w:tr w14:paraId="387E7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43B21312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32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0F8E514E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易燃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助燃气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混放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易燃易爆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瓶未进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瓶柜</w:t>
            </w:r>
          </w:p>
        </w:tc>
      </w:tr>
      <w:tr w14:paraId="65647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4763C6B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33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134A829A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实验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未张贴仪器操作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说明</w:t>
            </w:r>
          </w:p>
        </w:tc>
      </w:tr>
      <w:tr w14:paraId="63E8E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2A6EB06E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34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6109093A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烘箱、电阻炉等加热设备无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警示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标识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周围堆放易燃杂物</w:t>
            </w:r>
          </w:p>
        </w:tc>
      </w:tr>
      <w:tr w14:paraId="26C0E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64F867F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35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25244265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冰箱、烘箱等设备超期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使用年限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（烘箱12年，冰箱10年）</w:t>
            </w:r>
          </w:p>
        </w:tc>
      </w:tr>
      <w:tr w14:paraId="405DB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080F4F3A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36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33F2FDDA">
            <w:pPr>
              <w:jc w:val="left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实验室内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洗眼器未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定期维护、被遮挡影响使用</w:t>
            </w:r>
          </w:p>
        </w:tc>
      </w:tr>
      <w:tr w14:paraId="1DC11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3497A1F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37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1D33DF92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实验过程中，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通风橱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挡板未放置到合适高度</w:t>
            </w:r>
          </w:p>
        </w:tc>
      </w:tr>
      <w:tr w14:paraId="2EC8B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7B0B0421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38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10B0DA59">
            <w:pPr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实验操作时不穿实验服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穿拖鞋、短裤、裙子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2633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219C219B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39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55C3CFAC">
            <w:pPr>
              <w:jc w:val="left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加热、蒸馏等危险实验操作不戴护目镜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以及未做其他防护措施</w:t>
            </w:r>
          </w:p>
        </w:tc>
      </w:tr>
      <w:tr w14:paraId="1A085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435" w:type="pct"/>
            <w:shd w:val="clear" w:color="auto" w:fill="auto"/>
            <w:vAlign w:val="center"/>
          </w:tcPr>
          <w:p w14:paraId="254D96BF">
            <w:pPr>
              <w:numPr>
                <w:ilvl w:val="0"/>
                <w:numId w:val="0"/>
              </w:numPr>
              <w:ind w:left="425" w:leftChars="0" w:hanging="425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564" w:type="pct"/>
            <w:shd w:val="clear" w:color="auto" w:fill="auto"/>
            <w:vAlign w:val="center"/>
          </w:tcPr>
          <w:p w14:paraId="41B8A80D">
            <w:pPr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实验过程中无人看守；实验无标准操作流程</w:t>
            </w:r>
          </w:p>
        </w:tc>
      </w:tr>
    </w:tbl>
    <w:p w14:paraId="66AC7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注：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检查单位对照此表进行安全隐患排查；</w:t>
      </w:r>
    </w:p>
    <w:p w14:paraId="6E7AEA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（2）</w:t>
      </w:r>
      <w:r>
        <w:rPr>
          <w:rFonts w:hint="eastAsia" w:ascii="宋体" w:hAnsi="宋体" w:eastAsia="宋体" w:cs="宋体"/>
          <w:sz w:val="28"/>
          <w:szCs w:val="28"/>
        </w:rPr>
        <w:t>如在安全检查中发现有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其它</w:t>
      </w:r>
      <w:r>
        <w:rPr>
          <w:rFonts w:hint="eastAsia" w:ascii="宋体" w:hAnsi="宋体" w:eastAsia="宋体" w:cs="宋体"/>
          <w:sz w:val="28"/>
          <w:szCs w:val="28"/>
        </w:rPr>
        <w:t>危害实验室安全的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情况</w:t>
      </w:r>
      <w:r>
        <w:rPr>
          <w:rFonts w:hint="eastAsia" w:ascii="宋体" w:hAnsi="宋体" w:eastAsia="宋体" w:cs="宋体"/>
          <w:sz w:val="28"/>
          <w:szCs w:val="28"/>
        </w:rPr>
        <w:t>但未在该记分明细中注明的，由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检查单位自行认定。</w:t>
      </w:r>
    </w:p>
    <w:p w14:paraId="1DCDBA34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0E441F"/>
    <w:rsid w:val="6DF5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1067</Words>
  <Characters>1100</Characters>
  <Lines>0</Lines>
  <Paragraphs>0</Paragraphs>
  <TotalTime>0</TotalTime>
  <ScaleCrop>false</ScaleCrop>
  <LinksUpToDate>false</LinksUpToDate>
  <CharactersWithSpaces>1100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2026-10-09T09:06:00Z</dcterms:created>
  <dc:creator>DELL</dc:creator>
  <cp:lastModifiedBy>胡冬梅</cp:lastModifiedBy>
  <dcterms:modified xsi:type="dcterms:W3CDTF">2026-10-09T09:14:56Z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eyJoZGlkIjoiM2U2YTYxOTc3Yzc2NTRlYWM0MTljMWQ5NmU1NDZmNTAiLCJ1c2VySWQiOiIxNzA5NjcxMTMzIn0=</vt:lpwstr>
  </property>
  <property fmtid="{D5CDD505-2E9C-101B-9397-08002B2CF9AE}" pid="4" name="ICV">
    <vt:lpwstr>B296C87CA5C740C58941D83FD0BE3158_12</vt:lpwstr>
  </property>
</Properties>
</file>