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F36FA7">
      <w:pPr>
        <w:jc w:val="center"/>
      </w:pPr>
      <w:r>
        <w:drawing>
          <wp:inline distT="0" distB="0" distL="114300" distR="114300">
            <wp:extent cx="4359275" cy="1179830"/>
            <wp:effectExtent l="0" t="0" r="0" b="0"/>
            <wp:docPr id="3" name="图片 2" descr="新校徽带校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新校徽带校名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59275" cy="117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839C3">
      <w:pPr>
        <w:jc w:val="both"/>
      </w:pPr>
    </w:p>
    <w:p w14:paraId="5FFD3574">
      <w:pPr>
        <w:jc w:val="both"/>
      </w:pPr>
    </w:p>
    <w:p w14:paraId="14F10DDF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60"/>
          <w:szCs w:val="6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60"/>
          <w:szCs w:val="60"/>
          <w:lang w:val="en-US" w:eastAsia="zh-CN"/>
        </w:rPr>
        <w:t>危险化学品使用台账</w:t>
      </w:r>
    </w:p>
    <w:p w14:paraId="5220122C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60"/>
          <w:szCs w:val="60"/>
          <w:lang w:val="en-US" w:eastAsia="zh-CN"/>
        </w:rPr>
        <w:t>（不包含管制类化学品）</w:t>
      </w:r>
    </w:p>
    <w:p w14:paraId="3C75DC70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20"/>
          <w:szCs w:val="20"/>
          <w:lang w:val="en-US" w:eastAsia="zh-CN"/>
        </w:rPr>
      </w:pPr>
    </w:p>
    <w:p w14:paraId="44B0DD79">
      <w:pPr>
        <w:ind w:firstLine="3120" w:firstLineChars="600"/>
        <w:jc w:val="left"/>
        <w:rPr>
          <w:rFonts w:hint="eastAsia" w:ascii="宋体" w:hAnsi="宋体" w:eastAsia="宋体" w:cs="宋体"/>
          <w:b w:val="0"/>
          <w:bCs w:val="0"/>
          <w:sz w:val="52"/>
          <w:szCs w:val="52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52"/>
          <w:szCs w:val="52"/>
          <w:u w:val="none"/>
          <w:lang w:val="en-US" w:eastAsia="zh-CN"/>
        </w:rPr>
        <w:t>学 院（盖章）</w:t>
      </w:r>
      <w:r>
        <w:rPr>
          <w:rFonts w:hint="eastAsia" w:ascii="宋体" w:hAnsi="宋体" w:eastAsia="宋体" w:cs="宋体"/>
          <w:b w:val="0"/>
          <w:bCs w:val="0"/>
          <w:sz w:val="52"/>
          <w:szCs w:val="52"/>
          <w:u w:val="single"/>
          <w:lang w:val="en-US" w:eastAsia="zh-CN"/>
        </w:rPr>
        <w:t xml:space="preserve">               </w:t>
      </w:r>
    </w:p>
    <w:p w14:paraId="4CB15ACB">
      <w:pPr>
        <w:ind w:firstLine="3120" w:firstLineChars="600"/>
        <w:jc w:val="left"/>
        <w:rPr>
          <w:rFonts w:hint="eastAsia" w:ascii="宋体" w:hAnsi="宋体" w:eastAsia="宋体" w:cs="宋体"/>
          <w:b w:val="0"/>
          <w:bCs w:val="0"/>
          <w:sz w:val="52"/>
          <w:szCs w:val="52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52"/>
          <w:szCs w:val="52"/>
          <w:u w:val="none"/>
          <w:lang w:val="en-US" w:eastAsia="zh-CN"/>
        </w:rPr>
        <w:t>教 师（签字）</w:t>
      </w:r>
      <w:r>
        <w:rPr>
          <w:rFonts w:hint="eastAsia" w:ascii="宋体" w:hAnsi="宋体" w:eastAsia="宋体" w:cs="宋体"/>
          <w:b w:val="0"/>
          <w:bCs w:val="0"/>
          <w:sz w:val="52"/>
          <w:szCs w:val="52"/>
          <w:u w:val="single"/>
          <w:lang w:val="en-US" w:eastAsia="zh-CN"/>
        </w:rPr>
        <w:t xml:space="preserve">               </w:t>
      </w:r>
    </w:p>
    <w:p w14:paraId="28E467EA">
      <w:pPr>
        <w:ind w:firstLine="3120" w:firstLineChars="600"/>
        <w:jc w:val="left"/>
        <w:rPr>
          <w:rFonts w:hint="default" w:ascii="宋体" w:hAnsi="宋体" w:eastAsia="宋体" w:cs="宋体"/>
          <w:b w:val="0"/>
          <w:bCs w:val="0"/>
          <w:sz w:val="52"/>
          <w:szCs w:val="52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52"/>
          <w:szCs w:val="52"/>
          <w:u w:val="none"/>
          <w:lang w:val="en-US" w:eastAsia="zh-CN"/>
        </w:rPr>
        <w:t xml:space="preserve">实验室房间号 </w:t>
      </w:r>
      <w:r>
        <w:rPr>
          <w:rFonts w:hint="eastAsia" w:ascii="宋体" w:hAnsi="宋体" w:eastAsia="宋体" w:cs="宋体"/>
          <w:b w:val="0"/>
          <w:bCs w:val="0"/>
          <w:sz w:val="52"/>
          <w:szCs w:val="52"/>
          <w:u w:val="single"/>
          <w:lang w:val="en-US" w:eastAsia="zh-CN"/>
        </w:rPr>
        <w:t xml:space="preserve">               </w:t>
      </w:r>
    </w:p>
    <w:p w14:paraId="11274C89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60"/>
          <w:szCs w:val="6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56"/>
          <w:szCs w:val="56"/>
          <w:lang w:val="en-US" w:eastAsia="zh-CN"/>
        </w:rPr>
        <w:t xml:space="preserve">年   月 ——    年   月 </w:t>
      </w:r>
      <w:r>
        <w:rPr>
          <w:rFonts w:hint="eastAsia" w:ascii="方正小标宋简体" w:hAnsi="方正小标宋简体" w:eastAsia="方正小标宋简体" w:cs="方正小标宋简体"/>
          <w:b/>
          <w:bCs/>
          <w:sz w:val="60"/>
          <w:szCs w:val="60"/>
          <w:lang w:val="en-US" w:eastAsia="zh-CN"/>
        </w:rPr>
        <w:t xml:space="preserve">  </w:t>
      </w:r>
    </w:p>
    <w:p w14:paraId="3D72136C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56"/>
          <w:szCs w:val="56"/>
          <w:lang w:val="en-US" w:eastAsia="zh-CN"/>
        </w:rPr>
        <w:t>说  明</w:t>
      </w:r>
    </w:p>
    <w:p w14:paraId="5D2D28A7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 w14:paraId="768AB5F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1044" w:firstLineChars="200"/>
        <w:jc w:val="both"/>
        <w:textAlignment w:val="auto"/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  <w:t>根据《中华人民共和国危险化学品安全法》使用人需了解危险化学品安全技术说明书（SDS）。</w:t>
      </w:r>
    </w:p>
    <w:p w14:paraId="0122F47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0" w:leftChars="0" w:firstLine="1044" w:firstLineChars="200"/>
        <w:jc w:val="both"/>
        <w:textAlignment w:val="auto"/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  <w:t>本使用台账用于记录危险化学品的出入库记录，以及日常使用明细。</w:t>
      </w:r>
    </w:p>
    <w:p w14:paraId="2874D5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both"/>
        <w:textAlignment w:val="auto"/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</w:pPr>
    </w:p>
    <w:p w14:paraId="779F48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both"/>
        <w:textAlignment w:val="auto"/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</w:pPr>
    </w:p>
    <w:p w14:paraId="0FE518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both"/>
        <w:textAlignment w:val="auto"/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</w:pPr>
    </w:p>
    <w:p w14:paraId="229A52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宋体" w:hAnsi="宋体" w:eastAsia="宋体" w:cs="宋体"/>
          <w:b/>
          <w:bCs/>
          <w:sz w:val="56"/>
          <w:szCs w:val="56"/>
          <w:lang w:val="en-US" w:eastAsia="zh-CN"/>
        </w:rPr>
      </w:pPr>
    </w:p>
    <w:p w14:paraId="7092C6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宋体" w:hAnsi="宋体" w:eastAsia="宋体" w:cs="宋体"/>
          <w:b/>
          <w:bCs/>
          <w:sz w:val="56"/>
          <w:szCs w:val="5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56"/>
          <w:szCs w:val="56"/>
          <w:lang w:val="en-US" w:eastAsia="zh-CN"/>
        </w:rPr>
        <w:t>目  录</w:t>
      </w:r>
    </w:p>
    <w:p w14:paraId="5C5624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default" w:ascii="宋体" w:hAnsi="宋体" w:eastAsia="宋体" w:cs="宋体"/>
          <w:b/>
          <w:bCs/>
          <w:sz w:val="56"/>
          <w:szCs w:val="56"/>
          <w:lang w:val="en-US" w:eastAsia="zh-CN"/>
        </w:rPr>
      </w:pPr>
    </w:p>
    <w:p w14:paraId="645490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522" w:firstLineChars="100"/>
        <w:jc w:val="left"/>
        <w:textAlignment w:val="auto"/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52"/>
          <w:szCs w:val="52"/>
          <w:lang w:val="en-US" w:eastAsia="zh-CN" w:bidi="ar-SA"/>
        </w:rPr>
        <w:t>一、</w:t>
      </w:r>
      <w:r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  <w:t>危险化学品定义及概念</w:t>
      </w:r>
      <w:r>
        <w:rPr>
          <w:rFonts w:hint="eastAsia" w:ascii="微软雅黑" w:hAnsi="微软雅黑" w:eastAsia="微软雅黑" w:cs="微软雅黑"/>
          <w:b w:val="0"/>
          <w:bCs w:val="0"/>
          <w:sz w:val="52"/>
          <w:szCs w:val="52"/>
          <w:lang w:val="en-US" w:eastAsia="zh-CN"/>
        </w:rPr>
        <w:t>…………………………………1</w:t>
      </w:r>
    </w:p>
    <w:p w14:paraId="2FE46B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522" w:firstLineChars="100"/>
        <w:jc w:val="left"/>
        <w:textAlignment w:val="auto"/>
        <w:rPr>
          <w:rFonts w:hint="default" w:ascii="宋体" w:hAnsi="宋体" w:eastAsia="宋体" w:cs="宋体"/>
          <w:b/>
          <w:bCs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52"/>
          <w:szCs w:val="52"/>
          <w:lang w:val="en-US" w:eastAsia="zh-CN" w:bidi="ar-SA"/>
        </w:rPr>
        <w:t>二、</w:t>
      </w:r>
      <w:r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  <w:t>危险化学品安全技术说明书示例</w:t>
      </w:r>
      <w:r>
        <w:rPr>
          <w:rFonts w:hint="eastAsia" w:ascii="微软雅黑" w:hAnsi="微软雅黑" w:eastAsia="微软雅黑" w:cs="微软雅黑"/>
          <w:b w:val="0"/>
          <w:bCs w:val="0"/>
          <w:sz w:val="52"/>
          <w:szCs w:val="52"/>
          <w:lang w:val="en-US" w:eastAsia="zh-CN"/>
        </w:rPr>
        <w:t>……………………2</w:t>
      </w:r>
    </w:p>
    <w:p w14:paraId="184C40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522" w:firstLineChars="100"/>
        <w:jc w:val="left"/>
        <w:textAlignment w:val="auto"/>
        <w:rPr>
          <w:rFonts w:hint="default" w:ascii="宋体" w:hAnsi="宋体" w:eastAsia="宋体" w:cs="宋体"/>
          <w:b/>
          <w:bCs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52"/>
          <w:szCs w:val="52"/>
          <w:lang w:val="en-US" w:eastAsia="zh-CN" w:bidi="ar-SA"/>
        </w:rPr>
        <w:t>三、</w:t>
      </w:r>
      <w:r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  <w:t>危险化学品出入库登记表</w:t>
      </w:r>
      <w:r>
        <w:rPr>
          <w:rFonts w:hint="eastAsia" w:ascii="微软雅黑" w:hAnsi="微软雅黑" w:eastAsia="微软雅黑" w:cs="微软雅黑"/>
          <w:b w:val="0"/>
          <w:bCs w:val="0"/>
          <w:sz w:val="52"/>
          <w:szCs w:val="52"/>
          <w:lang w:val="en-US" w:eastAsia="zh-CN"/>
        </w:rPr>
        <w:t>………………………………3</w:t>
      </w:r>
    </w:p>
    <w:p w14:paraId="078EAD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522" w:firstLineChars="100"/>
        <w:jc w:val="left"/>
        <w:textAlignment w:val="auto"/>
        <w:rPr>
          <w:rFonts w:hint="default" w:ascii="宋体" w:hAnsi="宋体" w:eastAsia="宋体" w:cs="宋体"/>
          <w:b/>
          <w:bCs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52"/>
          <w:szCs w:val="52"/>
          <w:lang w:val="en-US" w:eastAsia="zh-CN" w:bidi="ar-SA"/>
        </w:rPr>
        <w:t>四、</w:t>
      </w:r>
      <w:r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  <w:t>危险化学品日常使用记录</w:t>
      </w:r>
      <w:r>
        <w:rPr>
          <w:rFonts w:hint="eastAsia" w:ascii="微软雅黑" w:hAnsi="微软雅黑" w:eastAsia="微软雅黑" w:cs="微软雅黑"/>
          <w:b w:val="0"/>
          <w:bCs w:val="0"/>
          <w:sz w:val="52"/>
          <w:szCs w:val="52"/>
          <w:lang w:val="en-US" w:eastAsia="zh-CN"/>
        </w:rPr>
        <w:t>………………………………4</w:t>
      </w:r>
    </w:p>
    <w:p w14:paraId="223FEF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1566" w:firstLineChars="300"/>
        <w:jc w:val="both"/>
        <w:textAlignment w:val="auto"/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</w:pPr>
    </w:p>
    <w:p w14:paraId="297FA2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1566" w:firstLineChars="300"/>
        <w:jc w:val="both"/>
        <w:textAlignment w:val="auto"/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</w:pPr>
    </w:p>
    <w:p w14:paraId="0EFABA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1566" w:firstLineChars="300"/>
        <w:jc w:val="both"/>
        <w:textAlignment w:val="auto"/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</w:pPr>
    </w:p>
    <w:p w14:paraId="120EAE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1566" w:firstLineChars="300"/>
        <w:jc w:val="both"/>
        <w:textAlignment w:val="auto"/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  <w:sectPr>
          <w:pgSz w:w="16838" w:h="11906" w:orient="landscape"/>
          <w:pgMar w:top="1463" w:right="1440" w:bottom="1463" w:left="1440" w:header="851" w:footer="992" w:gutter="0"/>
          <w:cols w:space="425" w:num="1"/>
          <w:docGrid w:type="lines" w:linePitch="312" w:charSpace="0"/>
        </w:sectPr>
      </w:pPr>
    </w:p>
    <w:p w14:paraId="67403E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right="34"/>
        <w:jc w:val="center"/>
        <w:textAlignment w:val="auto"/>
        <w:rPr>
          <w:rFonts w:hint="eastAsia" w:ascii="宋体" w:hAnsi="宋体" w:eastAsia="宋体" w:cs="宋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  <w:t>危险化学品定义及概念</w:t>
      </w:r>
    </w:p>
    <w:p w14:paraId="58B2C3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34" w:right="34" w:firstLine="8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44"/>
          <w:szCs w:val="44"/>
          <w:lang w:val="en-US" w:eastAsia="zh-CN"/>
        </w:rPr>
        <w:t>根据《中华人民共和国危险化学品安全法》，危险化学品是指具有毒害、腐蚀、爆炸、燃烧、助燃等性质，对人体、设施、生态环境具有危害的剧毒化学品和其他化学品。</w:t>
      </w:r>
    </w:p>
    <w:p w14:paraId="73A13A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34" w:right="34" w:firstLine="880" w:firstLineChars="200"/>
        <w:jc w:val="both"/>
        <w:textAlignment w:val="auto"/>
        <w:rPr>
          <w:rFonts w:hint="default" w:ascii="宋体" w:hAnsi="宋体" w:eastAsia="宋体" w:cs="宋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44"/>
          <w:szCs w:val="44"/>
          <w:lang w:val="en-US" w:eastAsia="zh-CN"/>
        </w:rPr>
        <w:t>危险化学品的具体品类按照公安部制定的《危险化学品目录2015版》确定，如有变动，按照最新版的法律法规执行。</w:t>
      </w:r>
    </w:p>
    <w:p w14:paraId="253079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34" w:right="34" w:firstLine="8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44"/>
          <w:szCs w:val="44"/>
          <w:lang w:val="en-US" w:eastAsia="zh-CN"/>
        </w:rPr>
        <w:t>危险化学品应当储存在专用仓库、专用场地或者专用储存室、储存专柜内，并由专人负责管理；危险化学品的储存方式、方法以及储存数量应当符合国家标准或者国家有关规定。</w:t>
      </w:r>
    </w:p>
    <w:p w14:paraId="5C4C02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34" w:right="34" w:firstLine="883" w:firstLineChars="200"/>
        <w:jc w:val="both"/>
        <w:textAlignment w:val="auto"/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具体内容参照《中华人民共和国危险化学品安全法》（2025年12月27日第十四届全国人民代表大会常务委员会第十九次会议通过）</w:t>
      </w:r>
    </w:p>
    <w:p w14:paraId="1F1D94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right="34"/>
        <w:jc w:val="center"/>
        <w:textAlignment w:val="auto"/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  <w:t>危险化学品安全技术说明书示例</w:t>
      </w:r>
    </w:p>
    <w:p w14:paraId="146161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right="34"/>
        <w:jc w:val="center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6"/>
          <w:szCs w:val="36"/>
          <w:lang w:val="en-US" w:eastAsia="zh-CN"/>
        </w:rPr>
        <w:t>（以无水乙醇为例）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shd w:val="clear" w:color="FFFFFF" w:fill="D9D9D9"/>
          <w:lang w:val="en-US" w:eastAsia="zh-CN"/>
        </w:rPr>
        <w:t>该示例仅显示该化学品SDS上部分内容，使用中要以实际SDS为准</w:t>
      </w:r>
    </w:p>
    <w:tbl>
      <w:tblPr>
        <w:tblStyle w:val="4"/>
        <w:tblW w:w="13957" w:type="dxa"/>
        <w:tblInd w:w="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8"/>
        <w:gridCol w:w="2600"/>
        <w:gridCol w:w="3572"/>
        <w:gridCol w:w="2485"/>
        <w:gridCol w:w="3072"/>
      </w:tblGrid>
      <w:tr w14:paraId="46D28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8" w:type="dxa"/>
          </w:tcPr>
          <w:p w14:paraId="239CACC5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11729" w:type="dxa"/>
            <w:gridSpan w:val="4"/>
          </w:tcPr>
          <w:p w14:paraId="5947B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无水乙醇（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30"/>
                <w:szCs w:val="30"/>
                <w:lang w:val="en-US" w:eastAsia="zh-CN" w:bidi="ar"/>
              </w:rPr>
              <w:t>Ethanol absolute for analysis EMSURE® ACS,ISO,Reag. Ph Eur</w:t>
            </w: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）</w:t>
            </w:r>
          </w:p>
        </w:tc>
      </w:tr>
      <w:tr w14:paraId="587DC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8" w:type="dxa"/>
          </w:tcPr>
          <w:p w14:paraId="410F4C94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CAS No.</w:t>
            </w:r>
          </w:p>
        </w:tc>
        <w:tc>
          <w:tcPr>
            <w:tcW w:w="11729" w:type="dxa"/>
            <w:gridSpan w:val="4"/>
          </w:tcPr>
          <w:p w14:paraId="513C84E7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64-17-5</w:t>
            </w:r>
          </w:p>
        </w:tc>
      </w:tr>
      <w:tr w14:paraId="4F5A2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8" w:type="dxa"/>
            <w:vMerge w:val="restart"/>
          </w:tcPr>
          <w:p w14:paraId="18F2C8A5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2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紧急情况概述</w:t>
            </w:r>
          </w:p>
        </w:tc>
        <w:tc>
          <w:tcPr>
            <w:tcW w:w="2600" w:type="dxa"/>
          </w:tcPr>
          <w:p w14:paraId="49ADDB05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外观与性状</w:t>
            </w:r>
          </w:p>
        </w:tc>
        <w:tc>
          <w:tcPr>
            <w:tcW w:w="3572" w:type="dxa"/>
          </w:tcPr>
          <w:p w14:paraId="1BC73D68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液体（20℃，1013百帕）</w:t>
            </w:r>
          </w:p>
        </w:tc>
        <w:tc>
          <w:tcPr>
            <w:tcW w:w="2485" w:type="dxa"/>
          </w:tcPr>
          <w:p w14:paraId="765DFA06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颜色</w:t>
            </w:r>
          </w:p>
        </w:tc>
        <w:tc>
          <w:tcPr>
            <w:tcW w:w="3072" w:type="dxa"/>
          </w:tcPr>
          <w:p w14:paraId="1498F901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无色</w:t>
            </w:r>
          </w:p>
        </w:tc>
      </w:tr>
      <w:tr w14:paraId="72571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228" w:type="dxa"/>
            <w:vMerge w:val="continue"/>
          </w:tcPr>
          <w:p w14:paraId="1B7C1248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600" w:type="dxa"/>
          </w:tcPr>
          <w:p w14:paraId="2196C692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气味</w:t>
            </w:r>
          </w:p>
        </w:tc>
        <w:tc>
          <w:tcPr>
            <w:tcW w:w="3572" w:type="dxa"/>
          </w:tcPr>
          <w:p w14:paraId="0C2E5182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酒精样气味</w:t>
            </w:r>
          </w:p>
        </w:tc>
        <w:tc>
          <w:tcPr>
            <w:tcW w:w="5557" w:type="dxa"/>
            <w:gridSpan w:val="2"/>
          </w:tcPr>
          <w:p w14:paraId="0FD6F766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高度易燃液体和蒸气。造成严重眼刺激。</w:t>
            </w:r>
          </w:p>
        </w:tc>
      </w:tr>
      <w:tr w14:paraId="52A87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8" w:type="dxa"/>
            <w:vMerge w:val="restart"/>
          </w:tcPr>
          <w:p w14:paraId="3F3C9DED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2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GHS危险类别</w:t>
            </w:r>
          </w:p>
        </w:tc>
        <w:tc>
          <w:tcPr>
            <w:tcW w:w="6172" w:type="dxa"/>
            <w:gridSpan w:val="2"/>
          </w:tcPr>
          <w:p w14:paraId="043D4AFB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易燃液体</w:t>
            </w:r>
          </w:p>
        </w:tc>
        <w:tc>
          <w:tcPr>
            <w:tcW w:w="5557" w:type="dxa"/>
            <w:gridSpan w:val="2"/>
            <w:shd w:val="clear" w:color="auto" w:fill="auto"/>
            <w:vAlign w:val="top"/>
          </w:tcPr>
          <w:p w14:paraId="5212494D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类别2</w:t>
            </w:r>
          </w:p>
        </w:tc>
      </w:tr>
      <w:tr w14:paraId="3CDE0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2228" w:type="dxa"/>
            <w:vMerge w:val="continue"/>
          </w:tcPr>
          <w:p w14:paraId="7C128C13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6172" w:type="dxa"/>
            <w:gridSpan w:val="2"/>
          </w:tcPr>
          <w:p w14:paraId="6A7D2DBA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严重眼睛损伤/眼睛刺激性</w:t>
            </w:r>
          </w:p>
        </w:tc>
        <w:tc>
          <w:tcPr>
            <w:tcW w:w="5557" w:type="dxa"/>
            <w:gridSpan w:val="2"/>
            <w:shd w:val="clear" w:color="auto" w:fill="auto"/>
            <w:vAlign w:val="top"/>
          </w:tcPr>
          <w:p w14:paraId="0BB964E5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类别2A</w:t>
            </w:r>
          </w:p>
        </w:tc>
      </w:tr>
      <w:tr w14:paraId="19849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</w:trPr>
        <w:tc>
          <w:tcPr>
            <w:tcW w:w="2228" w:type="dxa"/>
          </w:tcPr>
          <w:p w14:paraId="3EEBBE52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96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GHS标签要素</w:t>
            </w:r>
          </w:p>
        </w:tc>
        <w:tc>
          <w:tcPr>
            <w:tcW w:w="2600" w:type="dxa"/>
          </w:tcPr>
          <w:p w14:paraId="10A7CFDF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象形图：</w:t>
            </w:r>
          </w:p>
          <w:p w14:paraId="3164180D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93980</wp:posOffset>
                  </wp:positionH>
                  <wp:positionV relativeFrom="paragraph">
                    <wp:posOffset>39370</wp:posOffset>
                  </wp:positionV>
                  <wp:extent cx="1039495" cy="436880"/>
                  <wp:effectExtent l="0" t="0" r="1905" b="7620"/>
                  <wp:wrapNone/>
                  <wp:docPr id="1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 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9495" cy="436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72" w:type="dxa"/>
          </w:tcPr>
          <w:p w14:paraId="374108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</w:p>
          <w:p w14:paraId="67744F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危险性说明</w:t>
            </w:r>
          </w:p>
        </w:tc>
        <w:tc>
          <w:tcPr>
            <w:tcW w:w="5557" w:type="dxa"/>
            <w:gridSpan w:val="2"/>
          </w:tcPr>
          <w:p w14:paraId="4A652846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pacing w:val="2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pacing w:val="2"/>
                <w:sz w:val="30"/>
                <w:szCs w:val="30"/>
              </w:rPr>
              <w:t>H225</w:t>
            </w:r>
            <w:r>
              <w:rPr>
                <w:rFonts w:hint="eastAsia" w:ascii="宋体" w:hAnsi="宋体" w:eastAsia="宋体" w:cs="宋体"/>
                <w:spacing w:val="53"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2"/>
                <w:sz w:val="30"/>
                <w:szCs w:val="30"/>
              </w:rPr>
              <w:t>高度易燃液体和蒸气</w:t>
            </w:r>
          </w:p>
          <w:p w14:paraId="015B9BF5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30"/>
                <w:szCs w:val="30"/>
              </w:rPr>
              <w:t>H319</w:t>
            </w:r>
            <w:r>
              <w:rPr>
                <w:rFonts w:hint="eastAsia" w:ascii="宋体" w:hAnsi="宋体" w:eastAsia="宋体" w:cs="宋体"/>
                <w:spacing w:val="35"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30"/>
                <w:szCs w:val="30"/>
              </w:rPr>
              <w:t>造成严重眼刺激</w:t>
            </w:r>
          </w:p>
        </w:tc>
      </w:tr>
      <w:tr w14:paraId="2F64B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9" w:hRule="atLeast"/>
        </w:trPr>
        <w:tc>
          <w:tcPr>
            <w:tcW w:w="2228" w:type="dxa"/>
          </w:tcPr>
          <w:p w14:paraId="174F684D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  <w:t>预防措施</w:t>
            </w:r>
          </w:p>
        </w:tc>
        <w:tc>
          <w:tcPr>
            <w:tcW w:w="11729" w:type="dxa"/>
            <w:gridSpan w:val="4"/>
          </w:tcPr>
          <w:p w14:paraId="0E3828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P210 远离热源、热表面、火花、明火和其他点火源。禁止吸烟。</w:t>
            </w:r>
          </w:p>
          <w:p w14:paraId="171D6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P233 保持容器密闭。 </w:t>
            </w:r>
          </w:p>
          <w:p w14:paraId="1878A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P240 容器和装载设备接地并等势联接。 </w:t>
            </w:r>
          </w:p>
          <w:p w14:paraId="6B77A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P241 使用防爆的电气/通风/照明设备。 </w:t>
            </w:r>
          </w:p>
          <w:p w14:paraId="6D853D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P242 使用不产生火花的工具。 </w:t>
            </w:r>
          </w:p>
          <w:p w14:paraId="2B9FF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P243 采取防止静电放电的措施。 </w:t>
            </w:r>
          </w:p>
          <w:p w14:paraId="0A778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P264 作业后彻底清洗皮肤。 </w:t>
            </w:r>
          </w:p>
          <w:p w14:paraId="3FAE1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P280 配戴防护手套/防护服/护目用具/防护面具。</w:t>
            </w:r>
          </w:p>
        </w:tc>
      </w:tr>
    </w:tbl>
    <w:p w14:paraId="619F16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right="34"/>
        <w:jc w:val="center"/>
        <w:textAlignment w:val="auto"/>
        <w:rPr>
          <w:rFonts w:hint="eastAsia" w:ascii="宋体" w:hAnsi="宋体" w:eastAsia="宋体" w:cs="宋体"/>
          <w:b w:val="0"/>
          <w:bCs w:val="0"/>
          <w:sz w:val="22"/>
          <w:szCs w:val="22"/>
          <w:u w:val="none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sz w:val="44"/>
          <w:szCs w:val="44"/>
          <w:u w:val="none"/>
          <w:lang w:val="en-US" w:eastAsia="zh-CN"/>
        </w:rPr>
        <w:t>实验室危险化学品出入库登记表</w:t>
      </w:r>
    </w:p>
    <w:tbl>
      <w:tblPr>
        <w:tblStyle w:val="4"/>
        <w:tblpPr w:leftFromText="180" w:rightFromText="180" w:vertAnchor="text" w:horzAnchor="page" w:tblpX="869" w:tblpY="786"/>
        <w:tblOverlap w:val="never"/>
        <w:tblW w:w="145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8"/>
        <w:gridCol w:w="1300"/>
        <w:gridCol w:w="1740"/>
        <w:gridCol w:w="1750"/>
        <w:gridCol w:w="1725"/>
        <w:gridCol w:w="1638"/>
        <w:gridCol w:w="1750"/>
        <w:gridCol w:w="1925"/>
        <w:gridCol w:w="1725"/>
      </w:tblGrid>
      <w:tr w14:paraId="64012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038" w:type="dxa"/>
            <w:vMerge w:val="restart"/>
          </w:tcPr>
          <w:p w14:paraId="1B13A1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96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30"/>
                <w:szCs w:val="3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300" w:type="dxa"/>
            <w:vMerge w:val="restart"/>
          </w:tcPr>
          <w:p w14:paraId="71085E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96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30"/>
                <w:szCs w:val="3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u w:val="none"/>
                <w:vertAlign w:val="baseline"/>
                <w:lang w:val="en-US" w:eastAsia="zh-CN"/>
              </w:rPr>
              <w:t>日期</w:t>
            </w:r>
          </w:p>
        </w:tc>
        <w:tc>
          <w:tcPr>
            <w:tcW w:w="5215" w:type="dxa"/>
            <w:gridSpan w:val="3"/>
          </w:tcPr>
          <w:p w14:paraId="757F36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34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u w:val="none"/>
                <w:vertAlign w:val="baseline"/>
                <w:lang w:val="en-US" w:eastAsia="zh-CN"/>
              </w:rPr>
              <w:t>入库情况</w:t>
            </w:r>
          </w:p>
        </w:tc>
        <w:tc>
          <w:tcPr>
            <w:tcW w:w="5313" w:type="dxa"/>
            <w:gridSpan w:val="3"/>
          </w:tcPr>
          <w:p w14:paraId="2549A8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30"/>
                <w:szCs w:val="3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u w:val="none"/>
                <w:vertAlign w:val="baseline"/>
                <w:lang w:val="en-US" w:eastAsia="zh-CN"/>
              </w:rPr>
              <w:t>出库情况</w:t>
            </w:r>
          </w:p>
        </w:tc>
        <w:tc>
          <w:tcPr>
            <w:tcW w:w="1725" w:type="dxa"/>
          </w:tcPr>
          <w:p w14:paraId="6B7D3C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30"/>
                <w:szCs w:val="30"/>
                <w:u w:val="none"/>
                <w:vertAlign w:val="baseline"/>
                <w:lang w:val="en-US" w:eastAsia="zh-CN"/>
              </w:rPr>
            </w:pPr>
          </w:p>
        </w:tc>
      </w:tr>
      <w:tr w14:paraId="434EA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038" w:type="dxa"/>
            <w:vMerge w:val="continue"/>
          </w:tcPr>
          <w:p w14:paraId="0A3E47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30"/>
                <w:szCs w:val="3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00" w:type="dxa"/>
            <w:vMerge w:val="continue"/>
          </w:tcPr>
          <w:p w14:paraId="08DE86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30"/>
                <w:szCs w:val="3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40" w:type="dxa"/>
          </w:tcPr>
          <w:p w14:paraId="46C38C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30"/>
                <w:szCs w:val="3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u w:val="none"/>
                <w:vertAlign w:val="baseline"/>
                <w:lang w:val="en-US" w:eastAsia="zh-CN"/>
              </w:rPr>
              <w:t>药品来源</w:t>
            </w:r>
          </w:p>
        </w:tc>
        <w:tc>
          <w:tcPr>
            <w:tcW w:w="1750" w:type="dxa"/>
          </w:tcPr>
          <w:p w14:paraId="17821C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30"/>
                <w:szCs w:val="3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u w:val="none"/>
                <w:vertAlign w:val="baseline"/>
                <w:lang w:val="en-US" w:eastAsia="zh-CN"/>
              </w:rPr>
              <w:t>数量</w:t>
            </w:r>
          </w:p>
        </w:tc>
        <w:tc>
          <w:tcPr>
            <w:tcW w:w="1725" w:type="dxa"/>
          </w:tcPr>
          <w:p w14:paraId="7EF9CC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30"/>
                <w:szCs w:val="3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u w:val="none"/>
                <w:vertAlign w:val="baseline"/>
                <w:lang w:val="en-US" w:eastAsia="zh-CN"/>
              </w:rPr>
              <w:t>保管人</w:t>
            </w:r>
          </w:p>
        </w:tc>
        <w:tc>
          <w:tcPr>
            <w:tcW w:w="1638" w:type="dxa"/>
          </w:tcPr>
          <w:p w14:paraId="3EBEA4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30"/>
                <w:szCs w:val="3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u w:val="none"/>
                <w:vertAlign w:val="baseline"/>
                <w:lang w:val="en-US" w:eastAsia="zh-CN"/>
              </w:rPr>
              <w:t>药品去向</w:t>
            </w:r>
          </w:p>
        </w:tc>
        <w:tc>
          <w:tcPr>
            <w:tcW w:w="1750" w:type="dxa"/>
          </w:tcPr>
          <w:p w14:paraId="27EE42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30"/>
                <w:szCs w:val="3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u w:val="none"/>
                <w:vertAlign w:val="baseline"/>
                <w:lang w:val="en-US" w:eastAsia="zh-CN"/>
              </w:rPr>
              <w:t>数量</w:t>
            </w:r>
          </w:p>
        </w:tc>
        <w:tc>
          <w:tcPr>
            <w:tcW w:w="1925" w:type="dxa"/>
          </w:tcPr>
          <w:p w14:paraId="2D3596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30"/>
                <w:szCs w:val="3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u w:val="none"/>
                <w:vertAlign w:val="baseline"/>
                <w:lang w:val="en-US" w:eastAsia="zh-CN"/>
              </w:rPr>
              <w:t>经手人</w:t>
            </w:r>
          </w:p>
        </w:tc>
        <w:tc>
          <w:tcPr>
            <w:tcW w:w="1725" w:type="dxa"/>
          </w:tcPr>
          <w:p w14:paraId="6B85D0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30"/>
                <w:szCs w:val="3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u w:val="none"/>
                <w:vertAlign w:val="baseline"/>
                <w:lang w:val="en-US" w:eastAsia="zh-CN"/>
              </w:rPr>
              <w:t>库存量</w:t>
            </w:r>
          </w:p>
        </w:tc>
      </w:tr>
      <w:tr w14:paraId="0FCEA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38" w:type="dxa"/>
            <w:vAlign w:val="top"/>
          </w:tcPr>
          <w:p w14:paraId="385933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300" w:type="dxa"/>
            <w:vAlign w:val="top"/>
          </w:tcPr>
          <w:p w14:paraId="08DA1F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40" w:type="dxa"/>
            <w:vAlign w:val="top"/>
          </w:tcPr>
          <w:p w14:paraId="551003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50" w:type="dxa"/>
            <w:vAlign w:val="top"/>
          </w:tcPr>
          <w:p w14:paraId="52D411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vAlign w:val="top"/>
          </w:tcPr>
          <w:p w14:paraId="263379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38" w:type="dxa"/>
            <w:vAlign w:val="top"/>
          </w:tcPr>
          <w:p w14:paraId="316810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50" w:type="dxa"/>
            <w:vAlign w:val="top"/>
          </w:tcPr>
          <w:p w14:paraId="0D9F93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925" w:type="dxa"/>
            <w:vAlign w:val="top"/>
          </w:tcPr>
          <w:p w14:paraId="64595E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vAlign w:val="top"/>
          </w:tcPr>
          <w:p w14:paraId="3EC9E8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</w:tr>
      <w:tr w14:paraId="5E8E1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38" w:type="dxa"/>
            <w:vAlign w:val="top"/>
          </w:tcPr>
          <w:p w14:paraId="40F7D8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300" w:type="dxa"/>
            <w:vAlign w:val="top"/>
          </w:tcPr>
          <w:p w14:paraId="5BEAA4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40" w:type="dxa"/>
            <w:vAlign w:val="top"/>
          </w:tcPr>
          <w:p w14:paraId="23A6B2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50" w:type="dxa"/>
            <w:vAlign w:val="top"/>
          </w:tcPr>
          <w:p w14:paraId="65033A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vAlign w:val="top"/>
          </w:tcPr>
          <w:p w14:paraId="4C7048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38" w:type="dxa"/>
            <w:vAlign w:val="top"/>
          </w:tcPr>
          <w:p w14:paraId="16D29D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50" w:type="dxa"/>
            <w:vAlign w:val="top"/>
          </w:tcPr>
          <w:p w14:paraId="566E57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925" w:type="dxa"/>
            <w:vAlign w:val="top"/>
          </w:tcPr>
          <w:p w14:paraId="29EEB0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vAlign w:val="top"/>
          </w:tcPr>
          <w:p w14:paraId="50FA83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</w:tr>
      <w:tr w14:paraId="2E8C0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38" w:type="dxa"/>
            <w:vAlign w:val="top"/>
          </w:tcPr>
          <w:p w14:paraId="70A21A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300" w:type="dxa"/>
            <w:vAlign w:val="top"/>
          </w:tcPr>
          <w:p w14:paraId="5E48C7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40" w:type="dxa"/>
            <w:vAlign w:val="top"/>
          </w:tcPr>
          <w:p w14:paraId="25717F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50" w:type="dxa"/>
            <w:vAlign w:val="top"/>
          </w:tcPr>
          <w:p w14:paraId="27E05A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vAlign w:val="top"/>
          </w:tcPr>
          <w:p w14:paraId="3B18C1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38" w:type="dxa"/>
            <w:vAlign w:val="top"/>
          </w:tcPr>
          <w:p w14:paraId="157B5F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50" w:type="dxa"/>
            <w:vAlign w:val="top"/>
          </w:tcPr>
          <w:p w14:paraId="4BF593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925" w:type="dxa"/>
            <w:vAlign w:val="top"/>
          </w:tcPr>
          <w:p w14:paraId="58EAF1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vAlign w:val="top"/>
          </w:tcPr>
          <w:p w14:paraId="225069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</w:tr>
      <w:tr w14:paraId="51B3C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38" w:type="dxa"/>
            <w:vAlign w:val="top"/>
          </w:tcPr>
          <w:p w14:paraId="648C32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300" w:type="dxa"/>
            <w:vAlign w:val="top"/>
          </w:tcPr>
          <w:p w14:paraId="013183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40" w:type="dxa"/>
            <w:vAlign w:val="top"/>
          </w:tcPr>
          <w:p w14:paraId="720611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50" w:type="dxa"/>
            <w:vAlign w:val="top"/>
          </w:tcPr>
          <w:p w14:paraId="789EB5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vAlign w:val="top"/>
          </w:tcPr>
          <w:p w14:paraId="71E7E6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38" w:type="dxa"/>
            <w:vAlign w:val="top"/>
          </w:tcPr>
          <w:p w14:paraId="66E719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50" w:type="dxa"/>
            <w:vAlign w:val="top"/>
          </w:tcPr>
          <w:p w14:paraId="65E310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925" w:type="dxa"/>
            <w:vAlign w:val="top"/>
          </w:tcPr>
          <w:p w14:paraId="1163ED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vAlign w:val="top"/>
          </w:tcPr>
          <w:p w14:paraId="25C7D8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</w:tr>
      <w:tr w14:paraId="120AF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38" w:type="dxa"/>
            <w:vAlign w:val="top"/>
          </w:tcPr>
          <w:p w14:paraId="000401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1300" w:type="dxa"/>
            <w:vAlign w:val="top"/>
          </w:tcPr>
          <w:p w14:paraId="5E5F0F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40" w:type="dxa"/>
            <w:vAlign w:val="top"/>
          </w:tcPr>
          <w:p w14:paraId="03985F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50" w:type="dxa"/>
            <w:vAlign w:val="top"/>
          </w:tcPr>
          <w:p w14:paraId="1C0BBE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vAlign w:val="top"/>
          </w:tcPr>
          <w:p w14:paraId="2E109A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38" w:type="dxa"/>
            <w:vAlign w:val="top"/>
          </w:tcPr>
          <w:p w14:paraId="2CDF19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50" w:type="dxa"/>
            <w:vAlign w:val="top"/>
          </w:tcPr>
          <w:p w14:paraId="665254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925" w:type="dxa"/>
            <w:vAlign w:val="top"/>
          </w:tcPr>
          <w:p w14:paraId="794018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vAlign w:val="top"/>
          </w:tcPr>
          <w:p w14:paraId="3FBF89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</w:tr>
      <w:tr w14:paraId="41BD8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38" w:type="dxa"/>
            <w:vAlign w:val="top"/>
          </w:tcPr>
          <w:p w14:paraId="6A9572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1300" w:type="dxa"/>
            <w:vAlign w:val="top"/>
          </w:tcPr>
          <w:p w14:paraId="47F605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40" w:type="dxa"/>
            <w:vAlign w:val="top"/>
          </w:tcPr>
          <w:p w14:paraId="7E028D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50" w:type="dxa"/>
            <w:vAlign w:val="top"/>
          </w:tcPr>
          <w:p w14:paraId="6653AB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vAlign w:val="top"/>
          </w:tcPr>
          <w:p w14:paraId="6BADD4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38" w:type="dxa"/>
            <w:vAlign w:val="top"/>
          </w:tcPr>
          <w:p w14:paraId="1184CC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50" w:type="dxa"/>
            <w:vAlign w:val="top"/>
          </w:tcPr>
          <w:p w14:paraId="25FC4A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925" w:type="dxa"/>
            <w:vAlign w:val="top"/>
          </w:tcPr>
          <w:p w14:paraId="08F000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vAlign w:val="top"/>
          </w:tcPr>
          <w:p w14:paraId="23910D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</w:tr>
      <w:tr w14:paraId="7E935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38" w:type="dxa"/>
            <w:vAlign w:val="top"/>
          </w:tcPr>
          <w:p w14:paraId="063512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1300" w:type="dxa"/>
            <w:vAlign w:val="top"/>
          </w:tcPr>
          <w:p w14:paraId="68C7CA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40" w:type="dxa"/>
            <w:vAlign w:val="top"/>
          </w:tcPr>
          <w:p w14:paraId="092E33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50" w:type="dxa"/>
            <w:vAlign w:val="top"/>
          </w:tcPr>
          <w:p w14:paraId="4AEC47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vAlign w:val="top"/>
          </w:tcPr>
          <w:p w14:paraId="4143D7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38" w:type="dxa"/>
            <w:vAlign w:val="top"/>
          </w:tcPr>
          <w:p w14:paraId="30DED9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50" w:type="dxa"/>
            <w:vAlign w:val="top"/>
          </w:tcPr>
          <w:p w14:paraId="5A6334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925" w:type="dxa"/>
            <w:vAlign w:val="top"/>
          </w:tcPr>
          <w:p w14:paraId="045B46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vAlign w:val="top"/>
          </w:tcPr>
          <w:p w14:paraId="0CC69F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</w:tr>
      <w:tr w14:paraId="684B8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38" w:type="dxa"/>
            <w:vAlign w:val="top"/>
          </w:tcPr>
          <w:p w14:paraId="26DECB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1300" w:type="dxa"/>
            <w:vAlign w:val="top"/>
          </w:tcPr>
          <w:p w14:paraId="1E1C06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40" w:type="dxa"/>
            <w:vAlign w:val="top"/>
          </w:tcPr>
          <w:p w14:paraId="0B94C6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50" w:type="dxa"/>
            <w:vAlign w:val="top"/>
          </w:tcPr>
          <w:p w14:paraId="48F318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vAlign w:val="top"/>
          </w:tcPr>
          <w:p w14:paraId="21BA4D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38" w:type="dxa"/>
            <w:vAlign w:val="top"/>
          </w:tcPr>
          <w:p w14:paraId="12DF92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50" w:type="dxa"/>
            <w:vAlign w:val="top"/>
          </w:tcPr>
          <w:p w14:paraId="0CD2A7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925" w:type="dxa"/>
            <w:vAlign w:val="top"/>
          </w:tcPr>
          <w:p w14:paraId="370009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vAlign w:val="top"/>
          </w:tcPr>
          <w:p w14:paraId="63A9D9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</w:tr>
      <w:tr w14:paraId="68CF4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38" w:type="dxa"/>
            <w:vAlign w:val="top"/>
          </w:tcPr>
          <w:p w14:paraId="0C6ACA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1300" w:type="dxa"/>
            <w:vAlign w:val="top"/>
          </w:tcPr>
          <w:p w14:paraId="075027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40" w:type="dxa"/>
            <w:vAlign w:val="top"/>
          </w:tcPr>
          <w:p w14:paraId="350BBB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50" w:type="dxa"/>
            <w:vAlign w:val="top"/>
          </w:tcPr>
          <w:p w14:paraId="21EEC0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vAlign w:val="top"/>
          </w:tcPr>
          <w:p w14:paraId="13AABE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38" w:type="dxa"/>
            <w:vAlign w:val="top"/>
          </w:tcPr>
          <w:p w14:paraId="3EE20F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50" w:type="dxa"/>
            <w:vAlign w:val="top"/>
          </w:tcPr>
          <w:p w14:paraId="722148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925" w:type="dxa"/>
            <w:vAlign w:val="top"/>
          </w:tcPr>
          <w:p w14:paraId="3E5DCB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vAlign w:val="top"/>
          </w:tcPr>
          <w:p w14:paraId="31EC2E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</w:tr>
      <w:tr w14:paraId="0B9E9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38" w:type="dxa"/>
            <w:vAlign w:val="top"/>
          </w:tcPr>
          <w:p w14:paraId="11A718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1300" w:type="dxa"/>
            <w:vAlign w:val="top"/>
          </w:tcPr>
          <w:p w14:paraId="58F50B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40" w:type="dxa"/>
            <w:vAlign w:val="top"/>
          </w:tcPr>
          <w:p w14:paraId="4D7B08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50" w:type="dxa"/>
            <w:vAlign w:val="top"/>
          </w:tcPr>
          <w:p w14:paraId="376521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vAlign w:val="top"/>
          </w:tcPr>
          <w:p w14:paraId="7824AE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38" w:type="dxa"/>
            <w:vAlign w:val="top"/>
          </w:tcPr>
          <w:p w14:paraId="78B666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50" w:type="dxa"/>
            <w:vAlign w:val="top"/>
          </w:tcPr>
          <w:p w14:paraId="37447E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925" w:type="dxa"/>
            <w:vAlign w:val="top"/>
          </w:tcPr>
          <w:p w14:paraId="77D40C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vAlign w:val="top"/>
          </w:tcPr>
          <w:p w14:paraId="4358EF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</w:tr>
    </w:tbl>
    <w:p w14:paraId="24401A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right="34" w:firstLine="11660" w:firstLineChars="5300"/>
        <w:jc w:val="both"/>
        <w:textAlignment w:val="auto"/>
        <w:rPr>
          <w:rFonts w:hint="eastAsia" w:ascii="宋体" w:hAnsi="宋体" w:eastAsia="宋体" w:cs="宋体"/>
          <w:b w:val="0"/>
          <w:bCs w:val="0"/>
          <w:sz w:val="22"/>
          <w:szCs w:val="22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  <w:highlight w:val="none"/>
          <w:u w:val="none"/>
          <w:lang w:val="en-US" w:eastAsia="zh-CN"/>
        </w:rPr>
        <w:t>品名：</w:t>
      </w:r>
    </w:p>
    <w:p w14:paraId="0A0348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right="34"/>
        <w:jc w:val="both"/>
        <w:textAlignment w:val="auto"/>
        <w:rPr>
          <w:rFonts w:hint="default" w:ascii="宋体" w:hAnsi="宋体" w:eastAsia="宋体" w:cs="宋体"/>
          <w:b w:val="0"/>
          <w:bCs w:val="0"/>
          <w:sz w:val="22"/>
          <w:szCs w:val="22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  <w:highlight w:val="none"/>
          <w:u w:val="none"/>
          <w:lang w:val="en-US" w:eastAsia="zh-CN"/>
        </w:rPr>
        <w:t>提示：出入库记录每页只记录一种化学品，填写在品名处。</w:t>
      </w:r>
    </w:p>
    <w:p w14:paraId="6C1652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right="34" w:firstLine="2640" w:firstLineChars="600"/>
        <w:jc w:val="both"/>
        <w:textAlignment w:val="auto"/>
        <w:rPr>
          <w:rFonts w:hint="eastAsia" w:ascii="宋体" w:hAnsi="宋体" w:eastAsia="宋体" w:cs="宋体"/>
          <w:b w:val="0"/>
          <w:bCs w:val="0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44"/>
          <w:szCs w:val="44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b w:val="0"/>
          <w:bCs w:val="0"/>
          <w:sz w:val="44"/>
          <w:szCs w:val="44"/>
          <w:u w:val="none"/>
          <w:lang w:val="en-US" w:eastAsia="zh-CN"/>
        </w:rPr>
        <w:t xml:space="preserve"> 实验室危险化学品使用记录</w:t>
      </w:r>
    </w:p>
    <w:tbl>
      <w:tblPr>
        <w:tblStyle w:val="4"/>
        <w:tblpPr w:leftFromText="180" w:rightFromText="180" w:vertAnchor="text" w:horzAnchor="page" w:tblpX="849" w:tblpY="844"/>
        <w:tblOverlap w:val="never"/>
        <w:tblW w:w="152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8"/>
        <w:gridCol w:w="1667"/>
        <w:gridCol w:w="2296"/>
        <w:gridCol w:w="2057"/>
        <w:gridCol w:w="2557"/>
        <w:gridCol w:w="2586"/>
        <w:gridCol w:w="3043"/>
      </w:tblGrid>
      <w:tr w14:paraId="34A11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038" w:type="dxa"/>
          </w:tcPr>
          <w:p w14:paraId="72454C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667" w:type="dxa"/>
          </w:tcPr>
          <w:p w14:paraId="7BD214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日期</w:t>
            </w:r>
          </w:p>
        </w:tc>
        <w:tc>
          <w:tcPr>
            <w:tcW w:w="2296" w:type="dxa"/>
          </w:tcPr>
          <w:p w14:paraId="26FA6B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药品存放位置</w:t>
            </w:r>
          </w:p>
        </w:tc>
        <w:tc>
          <w:tcPr>
            <w:tcW w:w="2057" w:type="dxa"/>
          </w:tcPr>
          <w:p w14:paraId="2AE571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使用数量</w:t>
            </w:r>
          </w:p>
        </w:tc>
        <w:tc>
          <w:tcPr>
            <w:tcW w:w="2557" w:type="dxa"/>
          </w:tcPr>
          <w:p w14:paraId="4F3AD0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剩余库存量</w:t>
            </w:r>
          </w:p>
        </w:tc>
        <w:tc>
          <w:tcPr>
            <w:tcW w:w="2586" w:type="dxa"/>
          </w:tcPr>
          <w:p w14:paraId="05CCF7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保管人</w:t>
            </w:r>
          </w:p>
        </w:tc>
        <w:tc>
          <w:tcPr>
            <w:tcW w:w="3043" w:type="dxa"/>
          </w:tcPr>
          <w:p w14:paraId="190182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备注</w:t>
            </w:r>
          </w:p>
        </w:tc>
      </w:tr>
      <w:tr w14:paraId="77C08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38" w:type="dxa"/>
            <w:vAlign w:val="top"/>
          </w:tcPr>
          <w:p w14:paraId="70B2DB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667" w:type="dxa"/>
            <w:vAlign w:val="top"/>
          </w:tcPr>
          <w:p w14:paraId="5FCB37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96" w:type="dxa"/>
            <w:vAlign w:val="top"/>
          </w:tcPr>
          <w:p w14:paraId="6CA709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057" w:type="dxa"/>
            <w:vAlign w:val="top"/>
          </w:tcPr>
          <w:p w14:paraId="5EC31E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557" w:type="dxa"/>
            <w:vAlign w:val="top"/>
          </w:tcPr>
          <w:p w14:paraId="324AFB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586" w:type="dxa"/>
            <w:vAlign w:val="top"/>
          </w:tcPr>
          <w:p w14:paraId="666986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043" w:type="dxa"/>
            <w:vAlign w:val="top"/>
          </w:tcPr>
          <w:p w14:paraId="6C8C07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</w:tr>
      <w:tr w14:paraId="267A1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38" w:type="dxa"/>
            <w:vAlign w:val="top"/>
          </w:tcPr>
          <w:p w14:paraId="7830E0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667" w:type="dxa"/>
            <w:vAlign w:val="top"/>
          </w:tcPr>
          <w:p w14:paraId="65079C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96" w:type="dxa"/>
            <w:vAlign w:val="top"/>
          </w:tcPr>
          <w:p w14:paraId="0E0998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057" w:type="dxa"/>
            <w:vAlign w:val="top"/>
          </w:tcPr>
          <w:p w14:paraId="58B11F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557" w:type="dxa"/>
            <w:vAlign w:val="top"/>
          </w:tcPr>
          <w:p w14:paraId="51B253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586" w:type="dxa"/>
            <w:vAlign w:val="top"/>
          </w:tcPr>
          <w:p w14:paraId="35D167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043" w:type="dxa"/>
            <w:vAlign w:val="top"/>
          </w:tcPr>
          <w:p w14:paraId="29E5C7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</w:tr>
      <w:tr w14:paraId="04AAF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38" w:type="dxa"/>
            <w:vAlign w:val="top"/>
          </w:tcPr>
          <w:p w14:paraId="1D9D12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667" w:type="dxa"/>
            <w:vAlign w:val="top"/>
          </w:tcPr>
          <w:p w14:paraId="3C92F2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96" w:type="dxa"/>
            <w:vAlign w:val="top"/>
          </w:tcPr>
          <w:p w14:paraId="093D79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057" w:type="dxa"/>
            <w:vAlign w:val="top"/>
          </w:tcPr>
          <w:p w14:paraId="31D5C6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557" w:type="dxa"/>
            <w:vAlign w:val="top"/>
          </w:tcPr>
          <w:p w14:paraId="07F62B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586" w:type="dxa"/>
            <w:vAlign w:val="top"/>
          </w:tcPr>
          <w:p w14:paraId="29EFA5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043" w:type="dxa"/>
            <w:vAlign w:val="top"/>
          </w:tcPr>
          <w:p w14:paraId="31430A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</w:tr>
      <w:tr w14:paraId="6D4D2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38" w:type="dxa"/>
            <w:vAlign w:val="top"/>
          </w:tcPr>
          <w:p w14:paraId="0EB42A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667" w:type="dxa"/>
            <w:vAlign w:val="top"/>
          </w:tcPr>
          <w:p w14:paraId="169CCD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96" w:type="dxa"/>
            <w:vAlign w:val="top"/>
          </w:tcPr>
          <w:p w14:paraId="311D9C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057" w:type="dxa"/>
            <w:vAlign w:val="top"/>
          </w:tcPr>
          <w:p w14:paraId="2DFB79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557" w:type="dxa"/>
            <w:vAlign w:val="top"/>
          </w:tcPr>
          <w:p w14:paraId="5C7730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586" w:type="dxa"/>
            <w:vAlign w:val="top"/>
          </w:tcPr>
          <w:p w14:paraId="6D5B85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043" w:type="dxa"/>
            <w:vAlign w:val="top"/>
          </w:tcPr>
          <w:p w14:paraId="7445F8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</w:tr>
      <w:tr w14:paraId="10565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38" w:type="dxa"/>
            <w:vAlign w:val="top"/>
          </w:tcPr>
          <w:p w14:paraId="30ABE6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1667" w:type="dxa"/>
            <w:vAlign w:val="top"/>
          </w:tcPr>
          <w:p w14:paraId="75BB8E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96" w:type="dxa"/>
            <w:vAlign w:val="top"/>
          </w:tcPr>
          <w:p w14:paraId="4B2B18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057" w:type="dxa"/>
            <w:vAlign w:val="top"/>
          </w:tcPr>
          <w:p w14:paraId="6ECB37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557" w:type="dxa"/>
            <w:vAlign w:val="top"/>
          </w:tcPr>
          <w:p w14:paraId="7DD662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586" w:type="dxa"/>
            <w:vAlign w:val="top"/>
          </w:tcPr>
          <w:p w14:paraId="71CEE1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043" w:type="dxa"/>
            <w:vAlign w:val="top"/>
          </w:tcPr>
          <w:p w14:paraId="3821BF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</w:tr>
      <w:tr w14:paraId="5B591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38" w:type="dxa"/>
            <w:vAlign w:val="top"/>
          </w:tcPr>
          <w:p w14:paraId="2ED1CE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1667" w:type="dxa"/>
            <w:vAlign w:val="top"/>
          </w:tcPr>
          <w:p w14:paraId="2E2135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96" w:type="dxa"/>
            <w:vAlign w:val="top"/>
          </w:tcPr>
          <w:p w14:paraId="4E0E2A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057" w:type="dxa"/>
            <w:vAlign w:val="top"/>
          </w:tcPr>
          <w:p w14:paraId="65C235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557" w:type="dxa"/>
            <w:vAlign w:val="top"/>
          </w:tcPr>
          <w:p w14:paraId="6E4740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586" w:type="dxa"/>
            <w:vAlign w:val="top"/>
          </w:tcPr>
          <w:p w14:paraId="3EDFBA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043" w:type="dxa"/>
            <w:vAlign w:val="top"/>
          </w:tcPr>
          <w:p w14:paraId="565EC1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</w:tr>
      <w:tr w14:paraId="28499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38" w:type="dxa"/>
            <w:vAlign w:val="top"/>
          </w:tcPr>
          <w:p w14:paraId="6A11B1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1667" w:type="dxa"/>
            <w:vAlign w:val="top"/>
          </w:tcPr>
          <w:p w14:paraId="164AAF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96" w:type="dxa"/>
            <w:vAlign w:val="top"/>
          </w:tcPr>
          <w:p w14:paraId="62CD5C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057" w:type="dxa"/>
            <w:vAlign w:val="top"/>
          </w:tcPr>
          <w:p w14:paraId="672364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557" w:type="dxa"/>
            <w:vAlign w:val="top"/>
          </w:tcPr>
          <w:p w14:paraId="09A444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586" w:type="dxa"/>
            <w:vAlign w:val="top"/>
          </w:tcPr>
          <w:p w14:paraId="0925B1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043" w:type="dxa"/>
            <w:vAlign w:val="top"/>
          </w:tcPr>
          <w:p w14:paraId="27683E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</w:tr>
      <w:tr w14:paraId="6AB67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38" w:type="dxa"/>
            <w:vAlign w:val="top"/>
          </w:tcPr>
          <w:p w14:paraId="42CF46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1667" w:type="dxa"/>
            <w:vAlign w:val="top"/>
          </w:tcPr>
          <w:p w14:paraId="00F007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96" w:type="dxa"/>
            <w:vAlign w:val="top"/>
          </w:tcPr>
          <w:p w14:paraId="60EA72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057" w:type="dxa"/>
            <w:vAlign w:val="top"/>
          </w:tcPr>
          <w:p w14:paraId="0C4513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557" w:type="dxa"/>
            <w:vAlign w:val="top"/>
          </w:tcPr>
          <w:p w14:paraId="7621E5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586" w:type="dxa"/>
            <w:vAlign w:val="top"/>
          </w:tcPr>
          <w:p w14:paraId="5A0ED9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043" w:type="dxa"/>
            <w:vAlign w:val="top"/>
          </w:tcPr>
          <w:p w14:paraId="068B98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</w:tr>
      <w:tr w14:paraId="182A2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38" w:type="dxa"/>
            <w:vAlign w:val="top"/>
          </w:tcPr>
          <w:p w14:paraId="53FEF6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1667" w:type="dxa"/>
            <w:vAlign w:val="top"/>
          </w:tcPr>
          <w:p w14:paraId="2DDB9E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96" w:type="dxa"/>
            <w:vAlign w:val="top"/>
          </w:tcPr>
          <w:p w14:paraId="101E82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057" w:type="dxa"/>
            <w:vAlign w:val="top"/>
          </w:tcPr>
          <w:p w14:paraId="5CB3EB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557" w:type="dxa"/>
            <w:vAlign w:val="top"/>
          </w:tcPr>
          <w:p w14:paraId="1072B5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586" w:type="dxa"/>
            <w:vAlign w:val="top"/>
          </w:tcPr>
          <w:p w14:paraId="193358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043" w:type="dxa"/>
            <w:vAlign w:val="top"/>
          </w:tcPr>
          <w:p w14:paraId="2576FD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</w:tr>
      <w:tr w14:paraId="5507F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38" w:type="dxa"/>
            <w:vAlign w:val="top"/>
          </w:tcPr>
          <w:p w14:paraId="155C9D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1667" w:type="dxa"/>
            <w:vAlign w:val="top"/>
          </w:tcPr>
          <w:p w14:paraId="7FE159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96" w:type="dxa"/>
            <w:vAlign w:val="top"/>
          </w:tcPr>
          <w:p w14:paraId="535686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057" w:type="dxa"/>
            <w:vAlign w:val="top"/>
          </w:tcPr>
          <w:p w14:paraId="596B2E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557" w:type="dxa"/>
            <w:vAlign w:val="top"/>
          </w:tcPr>
          <w:p w14:paraId="173691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586" w:type="dxa"/>
            <w:vAlign w:val="top"/>
          </w:tcPr>
          <w:p w14:paraId="28EB2F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043" w:type="dxa"/>
            <w:vAlign w:val="top"/>
          </w:tcPr>
          <w:p w14:paraId="792ABB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auto"/>
              <w:ind w:left="0" w:right="34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40"/>
                <w:szCs w:val="40"/>
                <w:u w:val="none"/>
                <w:vertAlign w:val="baseline"/>
                <w:lang w:val="en-US" w:eastAsia="zh-CN"/>
              </w:rPr>
            </w:pPr>
          </w:p>
        </w:tc>
      </w:tr>
    </w:tbl>
    <w:p w14:paraId="4601EC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right="34" w:firstLine="11660" w:firstLineChars="5300"/>
        <w:jc w:val="both"/>
        <w:textAlignment w:val="auto"/>
        <w:rPr>
          <w:rFonts w:hint="eastAsia" w:ascii="宋体" w:hAnsi="宋体" w:eastAsia="宋体" w:cs="宋体"/>
          <w:b w:val="0"/>
          <w:bCs w:val="0"/>
          <w:sz w:val="22"/>
          <w:szCs w:val="22"/>
          <w:highlight w:val="yellow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  <w:highlight w:val="none"/>
          <w:u w:val="none"/>
          <w:lang w:val="en-US" w:eastAsia="zh-CN"/>
        </w:rPr>
        <w:t>品名：</w:t>
      </w:r>
    </w:p>
    <w:p w14:paraId="03A5C5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right="34"/>
        <w:jc w:val="both"/>
        <w:textAlignment w:val="auto"/>
        <w:rPr>
          <w:rFonts w:hint="eastAsia" w:ascii="宋体" w:hAnsi="宋体" w:cs="宋体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  <w:highlight w:val="none"/>
          <w:u w:val="none"/>
          <w:lang w:val="en-US" w:eastAsia="zh-CN"/>
        </w:rPr>
        <w:t>提示：使用记录每页只记录一种化学品，填写在品名处。</w:t>
      </w:r>
    </w:p>
    <w:p w14:paraId="6F7509CE"/>
    <w:sectPr>
      <w:pgSz w:w="16838" w:h="11906" w:orient="landscape"/>
      <w:pgMar w:top="1406" w:right="1440" w:bottom="140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BCA4B34-24F6-4B61-AB25-6D4A03203C8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F0320710-1ED7-4257-9A41-B3587D334E1E}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D5E98D92-68F5-4E5D-BED5-919BBF4C533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1976BE25-CC1D-4245-AEAB-4FFD527F285D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5F73B42"/>
    <w:multiLevelType w:val="singleLevel"/>
    <w:tmpl w:val="F5F73B4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B02DF9"/>
    <w:rsid w:val="7EB02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 Unicode MS" w:hAnsi="Arial Unicode MS" w:eastAsia="Arial Unicode MS" w:cs="Arial Unicode MS"/>
      <w:sz w:val="19"/>
      <w:szCs w:val="19"/>
      <w:lang w:val="en-US" w:eastAsia="en-US" w:bidi="ar-SA"/>
    </w:rPr>
  </w:style>
  <w:style w:type="table" w:styleId="4">
    <w:name w:val="Table Grid"/>
    <w:basedOn w:val="3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2026-11-02T01:32:00Z</dcterms:created>
  <dc:creator>北极以北</dc:creator>
  <cp:lastModifiedBy>北极以北</cp:lastModifiedBy>
  <dcterms:modified xsi:type="dcterms:W3CDTF">2026-11-02T01:34:50Z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67C25E4B2E2A4316AE25654399437EF9_11</vt:lpwstr>
  </property>
  <property fmtid="{D5CDD505-2E9C-101B-9397-08002B2CF9AE}" pid="4" name="KSOTemplateDocerSaveRecord">
    <vt:lpwstr>eyJoZGlkIjoiNzVlMjhjZmIzYWM5YzllOGI4YzhkYzQ0YzAyYjI5YTUiLCJ1c2VySWQiOiI0MzQ2MzA3MjcifQ==</vt:lpwstr>
  </property>
</Properties>
</file>